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1"/>
        <w:gridCol w:w="652"/>
        <w:gridCol w:w="1320"/>
        <w:gridCol w:w="3944"/>
        <w:gridCol w:w="41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Style w:val="7"/>
                <w:rFonts w:eastAsia="宋体"/>
                <w:lang w:val="en-US" w:eastAsia="zh-CN" w:bidi="ar"/>
              </w:rPr>
              <w:t>202</w:t>
            </w:r>
            <w:r>
              <w:rPr>
                <w:rStyle w:val="7"/>
                <w:rFonts w:hint="eastAsia" w:eastAsia="宋体"/>
                <w:lang w:val="en-US" w:eastAsia="zh-CN" w:bidi="ar"/>
              </w:rPr>
              <w:t>6</w:t>
            </w:r>
            <w:r>
              <w:rPr>
                <w:rFonts w:hint="eastAsia" w:ascii="宋体" w:hAnsi="宋体" w:eastAsia="宋体" w:cs="宋体"/>
                <w:i w:val="0"/>
                <w:iCs w:val="0"/>
                <w:color w:val="000000"/>
                <w:kern w:val="0"/>
                <w:sz w:val="24"/>
                <w:szCs w:val="24"/>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62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8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2026年防汛工作经费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0" w:hRule="atLeast"/>
        </w:trPr>
        <w:tc>
          <w:tcPr>
            <w:tcW w:w="262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8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攀枝花市仁和区水利局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80" w:hRule="atLeast"/>
        </w:trPr>
        <w:tc>
          <w:tcPr>
            <w:tcW w:w="26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394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26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5"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10031"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坚持生命至上人民至上，以人为本、依法防控、科学防控，确保人民群众生命和财产安全。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6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2"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32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购置防汛必备物资数量（购置照明设备、雨具等）</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防汛宣传数量</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6"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组织防汛培训、演练</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360人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1"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防汛技防设备运维费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36个自动雨量站、省级防汛会商系统、云视讯会议系统、海事电话费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7"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购置防汛必备物资质量</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符合防汛使用要求</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7"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防汛宣传</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提高防灾减灾意识≥95%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4"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防汛培训、演练</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汛前开展防汛减灾业务知识培训和组织全区综合性防汛减灾演练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1"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防汛技防设备运行维护</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确保防汛技防设备正常使用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防汛工作计划</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2026年5月-11月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防汛物资购置等办公费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防汛宣传费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组织防汛培训、演练费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防汛技防设备运维费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9"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32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全面提升全区汛期防汛应对能力</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确保重点公共设施安全，确保重点水利工程安全，确保重要公路、铁路等交通干线安全，确保城镇安全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8"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各级党委、政府和上级主管单位满意度</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5"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群众满意度</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bl>
    <w:p>
      <w:r>
        <w:br w:type="page"/>
      </w:r>
    </w:p>
    <w:tbl>
      <w:tblPr>
        <w:tblStyle w:val="3"/>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43"/>
        <w:gridCol w:w="993"/>
        <w:gridCol w:w="1607"/>
        <w:gridCol w:w="3106"/>
        <w:gridCol w:w="433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20"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0"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Style w:val="8"/>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202</w:t>
            </w:r>
            <w:r>
              <w:rPr>
                <w:rFonts w:hint="eastAsia" w:ascii="Times New Roman" w:hAnsi="Times New Roman" w:eastAsia="宋体" w:cs="Times New Roman"/>
                <w:i w:val="0"/>
                <w:iCs w:val="0"/>
                <w:color w:val="000000"/>
                <w:kern w:val="0"/>
                <w:sz w:val="24"/>
                <w:szCs w:val="24"/>
                <w:u w:val="none"/>
                <w:lang w:val="en-US" w:eastAsia="zh-CN" w:bidi="ar"/>
              </w:rPr>
              <w:t>6</w:t>
            </w:r>
            <w:r>
              <w:rPr>
                <w:rStyle w:val="8"/>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324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74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2026年河湖长制工作经费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324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743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攀枝花市仁和区水利局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324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310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4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0" w:hRule="atLeast"/>
        </w:trPr>
        <w:tc>
          <w:tcPr>
            <w:tcW w:w="324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4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1.50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63" w:hRule="atLeast"/>
        </w:trPr>
        <w:tc>
          <w:tcPr>
            <w:tcW w:w="6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10039"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根据省、市、区、乡、村级河湖长更换，及时更新河湖长制公示内容。此项内容是纳入省、市河湖长制工作年度考核。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70" w:hRule="atLeast"/>
        </w:trPr>
        <w:tc>
          <w:tcPr>
            <w:tcW w:w="64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99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160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3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4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完成</w:t>
            </w:r>
          </w:p>
        </w:tc>
        <w:tc>
          <w:tcPr>
            <w:tcW w:w="16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河湖长制公示牌内容更换。</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全区纳入河湖长制管理的13条河流、2个中型水库和5乡镇级饮用水源保护地河湖长制公示牌内容更换</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河湖长制公示牌内容更换。</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保障及时更新河湖长制公示牌内容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使用时间</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2026年1月至12月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河湖长制公示牌更换项目服务合同</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项目</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效益</w:t>
            </w:r>
          </w:p>
        </w:tc>
        <w:tc>
          <w:tcPr>
            <w:tcW w:w="16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3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河湖长制公示牌内容更换。</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及时、准确告知群众管理河、湖的各级行政责任人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5"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可持续影响</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310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河湖长制公示牌内容更换。</w:t>
            </w:r>
          </w:p>
        </w:tc>
        <w:tc>
          <w:tcPr>
            <w:tcW w:w="433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明确河湖管理责任人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5"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c>
          <w:tcPr>
            <w:tcW w:w="433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满意</w:t>
            </w:r>
          </w:p>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度指标</w:t>
            </w:r>
          </w:p>
        </w:tc>
        <w:tc>
          <w:tcPr>
            <w:tcW w:w="160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3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市级目标考核</w:t>
            </w:r>
          </w:p>
        </w:tc>
        <w:tc>
          <w:tcPr>
            <w:tcW w:w="4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64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9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60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群众满意度</w:t>
            </w:r>
          </w:p>
        </w:tc>
        <w:tc>
          <w:tcPr>
            <w:tcW w:w="433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bl>
    <w:p>
      <w:r>
        <w:br w:type="page"/>
      </w:r>
    </w:p>
    <w:tbl>
      <w:tblPr>
        <w:tblStyle w:val="3"/>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4"/>
        <w:gridCol w:w="654"/>
        <w:gridCol w:w="1322"/>
        <w:gridCol w:w="3937"/>
        <w:gridCol w:w="41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202</w:t>
            </w:r>
            <w:r>
              <w:rPr>
                <w:rFonts w:hint="eastAsia" w:ascii="Times New Roman" w:hAnsi="Times New Roman" w:eastAsia="宋体" w:cs="Times New Roman"/>
                <w:i w:val="0"/>
                <w:iCs w:val="0"/>
                <w:color w:val="000000"/>
                <w:kern w:val="0"/>
                <w:sz w:val="24"/>
                <w:szCs w:val="24"/>
                <w:u w:val="none"/>
                <w:lang w:val="en-US" w:eastAsia="zh-CN" w:bidi="ar"/>
              </w:rPr>
              <w:t>6</w:t>
            </w:r>
            <w:r>
              <w:rPr>
                <w:rStyle w:val="9"/>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63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80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2026年抗旱工作经费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263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80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攀枝花市仁和区水利局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6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39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 w:hRule="atLeast"/>
        </w:trPr>
        <w:tc>
          <w:tcPr>
            <w:tcW w:w="26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0" w:hRule="atLeast"/>
        </w:trPr>
        <w:tc>
          <w:tcPr>
            <w:tcW w:w="26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1002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坚持以人为本、依法防控、科学防控，保障旱区群众生产生活用水。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7" w:hRule="atLeast"/>
        </w:trPr>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6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2"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32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抗旱物资储备数量(送水桶、抽水设备等)</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46"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抗旱宣传数量</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5"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应急提水送水</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1.0万立方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lang w:eastAsia="zh-CN"/>
              </w:rPr>
            </w:pPr>
            <w:r>
              <w:rPr>
                <w:rFonts w:hint="eastAsia" w:ascii="宋体" w:hAnsi="宋体" w:eastAsia="宋体" w:cs="宋体"/>
                <w:i w:val="0"/>
                <w:iCs w:val="0"/>
                <w:color w:val="000000"/>
                <w:sz w:val="24"/>
                <w:szCs w:val="24"/>
                <w:u w:val="none"/>
                <w:lang w:eastAsia="zh-CN"/>
              </w:rPr>
              <w:t>、</w:t>
            </w: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抗旱物资储备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保障旱区群众生产、生活用水≥98%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抗旱宣传</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提高节水意识≥95%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8"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应急担水送水</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保障旱区群众生产、生活用水≥98%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工作完成时限</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2026年1月至7月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抗旱物资购置费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1"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宣传、办公费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0.5万元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应急提水送水费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32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抗旱经费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保障旱区群众人畜饮水安全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39"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以人为本、依法防控、科学防控，保障旱区群众生产生活用水</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以人为本、依法防控、科学防控，保障旱区群众生产生活用水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22"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各级党委、政府和上级主管单位满意度</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2"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旱区群众满意度</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bl>
    <w:p>
      <w:r>
        <w:br w:type="page"/>
      </w:r>
    </w:p>
    <w:tbl>
      <w:tblPr>
        <w:tblStyle w:val="3"/>
        <w:tblpPr w:leftFromText="180" w:rightFromText="180" w:vertAnchor="text" w:horzAnchor="page" w:tblpX="778" w:tblpY="-38"/>
        <w:tblOverlap w:val="never"/>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4"/>
        <w:gridCol w:w="654"/>
        <w:gridCol w:w="1322"/>
        <w:gridCol w:w="3937"/>
        <w:gridCol w:w="41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9"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202</w:t>
            </w:r>
            <w:r>
              <w:rPr>
                <w:rFonts w:hint="eastAsia" w:ascii="Times New Roman" w:hAnsi="Times New Roman" w:eastAsia="宋体" w:cs="Times New Roman"/>
                <w:i w:val="0"/>
                <w:iCs w:val="0"/>
                <w:color w:val="000000"/>
                <w:kern w:val="0"/>
                <w:sz w:val="24"/>
                <w:szCs w:val="24"/>
                <w:u w:val="none"/>
                <w:lang w:val="en-US" w:eastAsia="zh-CN" w:bidi="ar"/>
              </w:rPr>
              <w:t>6</w:t>
            </w:r>
            <w:r>
              <w:rPr>
                <w:rStyle w:val="10"/>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7" w:hRule="atLeast"/>
        </w:trPr>
        <w:tc>
          <w:tcPr>
            <w:tcW w:w="263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80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2026年山洪灾害防治县级非工程措施运行维修（护）费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30"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805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攀枝花市仁和区水利局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630"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39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14.25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5" w:hRule="atLeast"/>
        </w:trPr>
        <w:tc>
          <w:tcPr>
            <w:tcW w:w="26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14.25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2630"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80" w:hRule="atLeast"/>
        </w:trPr>
        <w:tc>
          <w:tcPr>
            <w:tcW w:w="6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10028"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保障山洪灾害防治非工程措施系统正常运行，最大限度发挥防灾减灾效益，保护人民群众生命财产安全。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8" w:hRule="atLeast"/>
        </w:trPr>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65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13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32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自动监测站点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5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简易雨量站点和县级预警平台</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85座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非工程措施视频会议系统、四川省水旱灾害防御系统和云视讯专线</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山洪灾害防治县级非工程措施设备运行维护率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确保设施设备运行正常100%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非工程措施视频会议系统、四川省水旱灾害防御系统和云视讯专线运行维护率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确保设施设备运行正常100%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5"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按工作计划</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2026年1-12月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山洪灾害防治县级非工程措施运行维修（护）费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6"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非工程措施视频会议系统、四川省水旱灾害防御系统和云视讯专线网费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3.25万元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36座自动监测站点物联卡费用</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63"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山洪灾害防治县级非工程措施运行维修（护）</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通过维护，确保户外站点和系统运行正常，汛期提供准确数据，及时预警，确保人民生命财产安全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96"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通过维护，确保户外站点和系统运行正常，汛期提供准确数据，及时预警，确保人民生命财产安全</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通过维护，确保户外站点和系统运行正常，汛期提供准确数据，及时预警，确保人民生命财产安全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1"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非工程措施视频系统和云视讯专线网费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通过非工程措施视会议频系统、四川省水旱灾害防御系统和云视讯专线能及时对接省市防汛指挥部，及时传达省市防汛指挥部的会议精神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7"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32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服务对象满意度</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5"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区委、区政府和上级主管部门满意度</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6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32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3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公众满意度</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bl>
    <w:tbl>
      <w:tblPr>
        <w:tblStyle w:val="3"/>
        <w:tblW w:w="10682"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51"/>
        <w:gridCol w:w="940"/>
        <w:gridCol w:w="1032"/>
        <w:gridCol w:w="3944"/>
        <w:gridCol w:w="41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其他运转类项目支出绩效目标申报表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202</w:t>
            </w:r>
            <w:r>
              <w:rPr>
                <w:rFonts w:hint="eastAsia" w:ascii="Times New Roman" w:hAnsi="Times New Roman" w:eastAsia="宋体" w:cs="Times New Roman"/>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0" w:hRule="atLeast"/>
        </w:trPr>
        <w:tc>
          <w:tcPr>
            <w:tcW w:w="262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8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2026年中小河流水文监测系统运行维护经费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62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8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攀枝花市仁和区水利局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394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10.00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00"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10031"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确保中小河流水文监测系统运行正常，汛期提供准确的水文数据，及时预警，确保人民生命财产安全。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0" w:hRule="atLeast"/>
        </w:trPr>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9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03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自动雨量站</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6个</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自动水位站</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水文监测系统运行质量率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按工作计划</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2026年1-12月</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水文监测系统运行维修（护）费</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75"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03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水文监测系统运行质量</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通过维护，确保10个站点运行正常，汛期提供准确的水文数据，及时预警，确保人民群众生命及财产安全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1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通过维护，确保10个站点运行正常，汛期提供准确的水文数据，及时预警，确保人民群众生命及财产安全</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通过维护，确保10个站点运行正常，汛期提供准确的水文数据，及时预警，确保人民群众生命及财产安全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服务对象群众满意度</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区委、区政府和上级主管部门</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75"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000000"/>
                <w:kern w:val="0"/>
                <w:sz w:val="32"/>
                <w:szCs w:val="32"/>
                <w:u w:val="none"/>
                <w:lang w:val="en-US" w:eastAsia="zh-CN" w:bidi="ar"/>
              </w:rPr>
            </w:pPr>
          </w:p>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特定目标类项目支出绩效目标申报表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6" w:hRule="atLeast"/>
        </w:trPr>
        <w:tc>
          <w:tcPr>
            <w:tcW w:w="10682" w:type="dxa"/>
            <w:gridSpan w:val="5"/>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w:t>
            </w:r>
            <w:r>
              <w:rPr>
                <w:rFonts w:hint="default" w:ascii="Times New Roman" w:hAnsi="Times New Roman" w:eastAsia="宋体" w:cs="Times New Roman"/>
                <w:i w:val="0"/>
                <w:iCs w:val="0"/>
                <w:color w:val="000000"/>
                <w:kern w:val="0"/>
                <w:sz w:val="24"/>
                <w:szCs w:val="24"/>
                <w:u w:val="none"/>
                <w:lang w:val="en-US" w:eastAsia="zh-CN" w:bidi="ar"/>
              </w:rPr>
              <w:t>202</w:t>
            </w:r>
            <w:r>
              <w:rPr>
                <w:rFonts w:hint="eastAsia" w:ascii="Times New Roman" w:hAnsi="Times New Roman" w:eastAsia="宋体" w:cs="Times New Roman"/>
                <w:i w:val="0"/>
                <w:iCs w:val="0"/>
                <w:color w:val="000000"/>
                <w:kern w:val="0"/>
                <w:sz w:val="24"/>
                <w:szCs w:val="24"/>
                <w:u w:val="none"/>
                <w:lang w:val="en-US" w:eastAsia="zh-CN" w:bidi="ar"/>
              </w:rPr>
              <w:t>6</w:t>
            </w:r>
            <w:r>
              <w:rPr>
                <w:rFonts w:hint="eastAsia" w:ascii="宋体" w:hAnsi="宋体" w:eastAsia="宋体" w:cs="宋体"/>
                <w:i w:val="0"/>
                <w:iCs w:val="0"/>
                <w:color w:val="000000"/>
                <w:kern w:val="0"/>
                <w:sz w:val="24"/>
                <w:szCs w:val="24"/>
                <w:u w:val="none"/>
                <w:lang w:val="en-US" w:eastAsia="zh-CN" w:bidi="ar"/>
              </w:rPr>
              <w:t>年度）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8" w:hRule="atLeast"/>
        </w:trPr>
        <w:tc>
          <w:tcPr>
            <w:tcW w:w="262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项目名称</w:t>
            </w:r>
          </w:p>
        </w:tc>
        <w:tc>
          <w:tcPr>
            <w:tcW w:w="8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水文服务经费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8" w:hRule="atLeast"/>
        </w:trPr>
        <w:tc>
          <w:tcPr>
            <w:tcW w:w="2623" w:type="dxa"/>
            <w:gridSpan w:val="3"/>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预算单位</w:t>
            </w:r>
          </w:p>
        </w:tc>
        <w:tc>
          <w:tcPr>
            <w:tcW w:w="805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攀枝花市仁和区水利局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23" w:type="dxa"/>
            <w:gridSpan w:val="3"/>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项目资金</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（万元）</w:t>
            </w:r>
          </w:p>
        </w:tc>
        <w:tc>
          <w:tcPr>
            <w:tcW w:w="394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年度资金总额:</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其中：财政拨款</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310.00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5" w:hRule="atLeast"/>
        </w:trPr>
        <w:tc>
          <w:tcPr>
            <w:tcW w:w="2623" w:type="dxa"/>
            <w:gridSpan w:val="3"/>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             其他资金</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FF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06" w:hRule="atLeast"/>
        </w:trPr>
        <w:tc>
          <w:tcPr>
            <w:tcW w:w="651"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总</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体</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目</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标</w:t>
            </w:r>
          </w:p>
        </w:tc>
        <w:tc>
          <w:tcPr>
            <w:tcW w:w="10031" w:type="dxa"/>
            <w:gridSpan w:val="4"/>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000000"/>
                <w:sz w:val="24"/>
                <w:szCs w:val="24"/>
                <w:u w:val="none"/>
                <w:lang w:eastAsia="zh-CN"/>
              </w:rPr>
            </w:pPr>
            <w:r>
              <w:rPr>
                <w:rFonts w:hint="eastAsia" w:ascii="宋体" w:hAnsi="宋体" w:eastAsia="宋体" w:cs="宋体"/>
                <w:sz w:val="24"/>
                <w:szCs w:val="24"/>
              </w:rPr>
              <w:t>弥补</w:t>
            </w:r>
            <w:r>
              <w:rPr>
                <w:rFonts w:hint="eastAsia" w:ascii="宋体" w:hAnsi="宋体" w:eastAsia="宋体" w:cs="宋体"/>
                <w:sz w:val="24"/>
                <w:szCs w:val="24"/>
                <w:lang w:eastAsia="zh-Hans"/>
              </w:rPr>
              <w:t>攀枝花</w:t>
            </w:r>
            <w:r>
              <w:rPr>
                <w:rFonts w:hint="eastAsia" w:ascii="宋体" w:hAnsi="宋体" w:eastAsia="宋体" w:cs="宋体"/>
                <w:sz w:val="24"/>
                <w:szCs w:val="24"/>
              </w:rPr>
              <w:t>水文中心</w:t>
            </w:r>
            <w:r>
              <w:rPr>
                <w:rFonts w:hint="eastAsia" w:ascii="宋体" w:hAnsi="宋体" w:eastAsia="宋体" w:cs="宋体"/>
                <w:sz w:val="24"/>
                <w:szCs w:val="24"/>
                <w:lang w:val="en-US" w:eastAsia="zh-CN"/>
              </w:rPr>
              <w:t>水情会商、</w:t>
            </w:r>
            <w:r>
              <w:rPr>
                <w:rFonts w:hint="eastAsia" w:ascii="宋体" w:hAnsi="宋体" w:eastAsia="宋体" w:cs="宋体"/>
                <w:sz w:val="24"/>
                <w:szCs w:val="24"/>
              </w:rPr>
              <w:t>水质实验室建设短板，改善和优化</w:t>
            </w:r>
            <w:r>
              <w:rPr>
                <w:rFonts w:hint="eastAsia" w:ascii="宋体" w:hAnsi="宋体" w:eastAsia="宋体" w:cs="宋体"/>
                <w:sz w:val="24"/>
                <w:szCs w:val="24"/>
                <w:lang w:val="en-US" w:eastAsia="zh-CN"/>
              </w:rPr>
              <w:t>水文中心</w:t>
            </w:r>
            <w:r>
              <w:rPr>
                <w:rFonts w:hint="eastAsia" w:ascii="宋体" w:hAnsi="宋体" w:eastAsia="宋体" w:cs="宋体"/>
                <w:sz w:val="24"/>
                <w:szCs w:val="24"/>
              </w:rPr>
              <w:t>技术装备及主要仪器设备，全面提升项目区监测站点的水文测报、分析评价及水文水资源信息服务能力，实现暴雨洪水的动态监测和预报预警，提高中小河流的洪水灾害防御能力</w:t>
            </w:r>
            <w:r>
              <w:rPr>
                <w:rFonts w:hint="eastAsia" w:ascii="宋体" w:hAnsi="宋体" w:eastAsia="宋体" w:cs="宋体"/>
                <w:sz w:val="24"/>
                <w:szCs w:val="24"/>
                <w:lang w:eastAsia="zh-CN"/>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94" w:hRule="atLeast"/>
        </w:trPr>
        <w:tc>
          <w:tcPr>
            <w:tcW w:w="65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绩效指标</w:t>
            </w:r>
          </w:p>
        </w:tc>
        <w:tc>
          <w:tcPr>
            <w:tcW w:w="94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一级</w:t>
            </w:r>
            <w:r>
              <w:rPr>
                <w:rFonts w:hint="eastAsia" w:ascii="宋体" w:hAnsi="宋体" w:eastAsia="宋体" w:cs="宋体"/>
                <w:i w:val="0"/>
                <w:iCs w:val="0"/>
                <w:color w:val="000000"/>
                <w:kern w:val="0"/>
                <w:sz w:val="24"/>
                <w:szCs w:val="24"/>
                <w:u w:val="none"/>
                <w:lang w:val="en-US" w:eastAsia="zh-CN" w:bidi="ar"/>
              </w:rPr>
              <w:br w:type="textWrapping"/>
            </w:r>
            <w:bookmarkStart w:id="0" w:name="_GoBack"/>
            <w:bookmarkEnd w:id="0"/>
            <w:r>
              <w:rPr>
                <w:rFonts w:hint="eastAsia" w:ascii="宋体" w:hAnsi="宋体" w:eastAsia="宋体" w:cs="宋体"/>
                <w:i w:val="0"/>
                <w:iCs w:val="0"/>
                <w:color w:val="000000"/>
                <w:kern w:val="0"/>
                <w:sz w:val="24"/>
                <w:szCs w:val="24"/>
                <w:u w:val="none"/>
                <w:lang w:val="en-US" w:eastAsia="zh-CN" w:bidi="ar"/>
              </w:rPr>
              <w:t>指标</w:t>
            </w:r>
          </w:p>
        </w:tc>
        <w:tc>
          <w:tcPr>
            <w:tcW w:w="10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二级指标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三级指标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指标值（包含数字及文字描述）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项目完成</w:t>
            </w:r>
          </w:p>
        </w:tc>
        <w:tc>
          <w:tcPr>
            <w:tcW w:w="103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数量指标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水文巡测基地</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配置水情会商设备1套（会商显示屏、高清摄像头、音频系统、硬盘录像机、移动控制终端）、水文数据信息设备1套（服务器、不间断电源、交换机、防火墙、KVM切换器、工作站）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4"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sz w:val="24"/>
                <w:szCs w:val="24"/>
                <w:u w:val="none"/>
                <w:lang w:val="en-US" w:eastAsia="zh-CN"/>
              </w:rPr>
              <w:t>水质实验室</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11"/>
              <w:keepNext w:val="0"/>
              <w:keepLines w:val="0"/>
              <w:pageBreakBefore w:val="0"/>
              <w:widowControl/>
              <w:kinsoku/>
              <w:wordWrap/>
              <w:overflowPunct/>
              <w:topLinePunct w:val="0"/>
              <w:autoSpaceDE/>
              <w:autoSpaceDN/>
              <w:bidi w:val="0"/>
              <w:adjustRightInd/>
              <w:snapToGrid/>
              <w:spacing w:line="240" w:lineRule="auto"/>
              <w:ind w:left="0" w:leftChars="0" w:firstLine="0" w:firstLineChars="0"/>
              <w:textAlignment w:val="auto"/>
              <w:rPr>
                <w:rFonts w:hint="eastAsia" w:ascii="宋体" w:hAnsi="宋体" w:eastAsia="宋体" w:cs="宋体"/>
                <w:i w:val="0"/>
                <w:iCs w:val="0"/>
                <w:color w:val="000000"/>
                <w:sz w:val="24"/>
                <w:szCs w:val="24"/>
                <w:u w:val="none"/>
                <w:lang w:val="en-US" w:eastAsia="zh-CN"/>
              </w:rPr>
            </w:pPr>
            <w:r>
              <w:rPr>
                <w:rFonts w:hint="eastAsia" w:ascii="宋体" w:hAnsi="宋体" w:eastAsia="宋体" w:cs="宋体"/>
                <w:i w:val="0"/>
                <w:iCs w:val="0"/>
                <w:color w:val="000000"/>
                <w:kern w:val="0"/>
                <w:sz w:val="24"/>
                <w:szCs w:val="24"/>
                <w:u w:val="none"/>
                <w:lang w:val="en-US" w:eastAsia="zh-CN" w:bidi="ar"/>
              </w:rPr>
              <w:t>配置水质监测仪器设备(流动注射分析仪、全自动高锰酸盐指数分析仪、气相分子吸收光谱仪、电感耦合等离子体发射光谱仪、原子荧光分光光度计、PH测定仪、</w:t>
            </w:r>
            <w:r>
              <w:rPr>
                <w:rFonts w:hint="eastAsia" w:ascii="宋体" w:hAnsi="宋体" w:eastAsia="宋体" w:cs="宋体"/>
                <w:i w:val="0"/>
                <w:iCs w:val="0"/>
                <w:color w:val="000000"/>
                <w:kern w:val="0"/>
                <w:sz w:val="24"/>
                <w:szCs w:val="24"/>
                <w:u w:val="none"/>
                <w:lang w:val="en-US" w:eastAsia="zh-Hans" w:bidi="ar"/>
              </w:rPr>
              <w:t>多参数水质测定仪</w:t>
            </w:r>
            <w:r>
              <w:rPr>
                <w:rFonts w:hint="eastAsia" w:ascii="宋体" w:hAnsi="宋体" w:eastAsia="宋体" w:cs="宋体"/>
                <w:i w:val="0"/>
                <w:iCs w:val="0"/>
                <w:color w:val="000000"/>
                <w:kern w:val="0"/>
                <w:sz w:val="24"/>
                <w:szCs w:val="24"/>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水文监测系统运行质量率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04"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时效指标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按工作计划</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2026年6月前完成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2"/>
                <w:szCs w:val="22"/>
                <w:u w:val="none"/>
                <w:lang w:val="en-US" w:eastAsia="zh-CN" w:bidi="ar"/>
              </w:rPr>
              <w:t>水情会商设备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30.8万元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left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vMerge w:val="continue"/>
            <w:tcBorders>
              <w:left w:val="single" w:color="000000" w:sz="4" w:space="0"/>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水文数据信息设备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36.2万元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6"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vMerge w:val="continue"/>
            <w:tcBorders>
              <w:left w:val="single" w:color="000000" w:sz="4" w:space="0"/>
              <w:bottom w:val="nil"/>
              <w:right w:val="single" w:color="000000"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000000"/>
                <w:kern w:val="0"/>
                <w:sz w:val="24"/>
                <w:szCs w:val="24"/>
                <w:u w:val="none"/>
                <w:lang w:val="en-US" w:eastAsia="zh-CN" w:bidi="ar"/>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2"/>
                <w:szCs w:val="22"/>
                <w:u w:val="none"/>
                <w:lang w:val="en-US" w:eastAsia="zh-CN" w:bidi="ar"/>
              </w:rPr>
              <w:t>水质实验室监测仪器设备</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243万元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4"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项目效益</w:t>
            </w:r>
          </w:p>
        </w:tc>
        <w:tc>
          <w:tcPr>
            <w:tcW w:w="1032" w:type="dxa"/>
            <w:vMerge w:val="restar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社会效益</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水文巡测配套设施完善</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解决攀枝花水文水资源勘测中心中心技术装备及主要仪器设备等设施设备不配套的问题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848"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vMerge w:val="continue"/>
            <w:tcBorders>
              <w:top w:val="single" w:color="000000" w:sz="4" w:space="0"/>
              <w:left w:val="single" w:color="000000" w:sz="4" w:space="0"/>
              <w:bottom w:val="nil"/>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社会效益</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发挥防汛减灾效益。更加及时准确地为仁和区各防汛减灾部门提供科学的水文信息，信息的采集、处理、传输和发布的时间极大缩短，平均时间能节约10—15分钟，极大地提高了报汛的速度，保障人民群众生命财产安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42"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1032"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满意度指标</w:t>
            </w: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服务对象群众满意度</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trPr>
        <w:tc>
          <w:tcPr>
            <w:tcW w:w="65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9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1032"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94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区委、区政府和上级主管部门</w:t>
            </w:r>
          </w:p>
        </w:tc>
        <w:tc>
          <w:tcPr>
            <w:tcW w:w="411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≥95%</w:t>
            </w:r>
          </w:p>
        </w:tc>
      </w:tr>
    </w:tbl>
    <w:p/>
    <w:sectPr>
      <w:pgSz w:w="11906" w:h="16838"/>
      <w:pgMar w:top="720" w:right="607" w:bottom="607"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D24687"/>
    <w:rsid w:val="07712FE1"/>
    <w:rsid w:val="09284907"/>
    <w:rsid w:val="116C487D"/>
    <w:rsid w:val="13532184"/>
    <w:rsid w:val="1A0974AF"/>
    <w:rsid w:val="1E29095B"/>
    <w:rsid w:val="204A4068"/>
    <w:rsid w:val="215B58F0"/>
    <w:rsid w:val="22D809A3"/>
    <w:rsid w:val="29892FB6"/>
    <w:rsid w:val="2A042B4D"/>
    <w:rsid w:val="2CC56A21"/>
    <w:rsid w:val="2E656FDC"/>
    <w:rsid w:val="33D95093"/>
    <w:rsid w:val="37D1489A"/>
    <w:rsid w:val="38B2291D"/>
    <w:rsid w:val="3E574C2F"/>
    <w:rsid w:val="405A5557"/>
    <w:rsid w:val="445733F4"/>
    <w:rsid w:val="55C0332D"/>
    <w:rsid w:val="578C629D"/>
    <w:rsid w:val="5F8B2290"/>
    <w:rsid w:val="61A7259A"/>
    <w:rsid w:val="647E2F3F"/>
    <w:rsid w:val="69B042EF"/>
    <w:rsid w:val="69B433CC"/>
    <w:rsid w:val="6BE66209"/>
    <w:rsid w:val="6E2908A5"/>
    <w:rsid w:val="70D60FDD"/>
    <w:rsid w:val="71D3459E"/>
    <w:rsid w:val="738A6CE8"/>
    <w:rsid w:val="7782114C"/>
    <w:rsid w:val="789013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before="100" w:after="100" w:line="360" w:lineRule="auto"/>
      <w:outlineLvl w:val="1"/>
    </w:pPr>
    <w:rPr>
      <w:b/>
      <w:bCs/>
      <w:kern w:val="24"/>
      <w:sz w:val="2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font01"/>
    <w:basedOn w:val="4"/>
    <w:qFormat/>
    <w:uiPriority w:val="0"/>
    <w:rPr>
      <w:rFonts w:hint="default" w:ascii="Times New Roman" w:hAnsi="Times New Roman" w:cs="Times New Roman"/>
      <w:color w:val="000000"/>
      <w:sz w:val="24"/>
      <w:szCs w:val="24"/>
      <w:u w:val="none"/>
    </w:rPr>
  </w:style>
  <w:style w:type="character" w:customStyle="1" w:styleId="6">
    <w:name w:val="font41"/>
    <w:basedOn w:val="4"/>
    <w:qFormat/>
    <w:uiPriority w:val="0"/>
    <w:rPr>
      <w:rFonts w:hint="eastAsia" w:ascii="宋体" w:hAnsi="宋体" w:eastAsia="宋体" w:cs="宋体"/>
      <w:color w:val="000000"/>
      <w:sz w:val="24"/>
      <w:szCs w:val="24"/>
      <w:u w:val="none"/>
    </w:rPr>
  </w:style>
  <w:style w:type="character" w:customStyle="1" w:styleId="7">
    <w:name w:val="font51"/>
    <w:basedOn w:val="4"/>
    <w:qFormat/>
    <w:uiPriority w:val="0"/>
    <w:rPr>
      <w:rFonts w:hint="default" w:ascii="Times New Roman" w:hAnsi="Times New Roman" w:cs="Times New Roman"/>
      <w:color w:val="000000"/>
      <w:sz w:val="24"/>
      <w:szCs w:val="24"/>
      <w:u w:val="none"/>
    </w:rPr>
  </w:style>
  <w:style w:type="character" w:customStyle="1" w:styleId="8">
    <w:name w:val="font11"/>
    <w:basedOn w:val="4"/>
    <w:qFormat/>
    <w:uiPriority w:val="0"/>
    <w:rPr>
      <w:rFonts w:hint="eastAsia" w:ascii="宋体" w:hAnsi="宋体" w:eastAsia="宋体" w:cs="宋体"/>
      <w:color w:val="000000"/>
      <w:sz w:val="24"/>
      <w:szCs w:val="24"/>
      <w:u w:val="none"/>
    </w:rPr>
  </w:style>
  <w:style w:type="character" w:customStyle="1" w:styleId="9">
    <w:name w:val="font21"/>
    <w:basedOn w:val="4"/>
    <w:qFormat/>
    <w:uiPriority w:val="0"/>
    <w:rPr>
      <w:rFonts w:hint="eastAsia" w:ascii="宋体" w:hAnsi="宋体" w:eastAsia="宋体" w:cs="宋体"/>
      <w:color w:val="000000"/>
      <w:sz w:val="24"/>
      <w:szCs w:val="24"/>
      <w:u w:val="none"/>
    </w:rPr>
  </w:style>
  <w:style w:type="character" w:customStyle="1" w:styleId="10">
    <w:name w:val="font31"/>
    <w:basedOn w:val="4"/>
    <w:qFormat/>
    <w:uiPriority w:val="0"/>
    <w:rPr>
      <w:rFonts w:hint="eastAsia" w:ascii="宋体" w:hAnsi="宋体" w:eastAsia="宋体" w:cs="宋体"/>
      <w:color w:val="000000"/>
      <w:sz w:val="24"/>
      <w:szCs w:val="24"/>
      <w:u w:val="none"/>
    </w:rPr>
  </w:style>
  <w:style w:type="paragraph" w:customStyle="1" w:styleId="11">
    <w:name w:val="本文正文"/>
    <w:basedOn w:val="1"/>
    <w:qFormat/>
    <w:uiPriority w:val="0"/>
    <w:pPr>
      <w:widowControl/>
      <w:spacing w:line="360" w:lineRule="auto"/>
      <w:ind w:firstLine="420" w:firstLineChars="200"/>
      <w:contextualSpacing/>
    </w:pPr>
    <w:rPr>
      <w:rFonts w:eastAsia="仿宋_GB2312"/>
      <w:color w:val="000000"/>
      <w:kern w:val="0"/>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2414</Words>
  <Characters>2573</Characters>
  <Lines>0</Lines>
  <Paragraphs>0</Paragraphs>
  <TotalTime>6</TotalTime>
  <ScaleCrop>false</ScaleCrop>
  <LinksUpToDate>false</LinksUpToDate>
  <CharactersWithSpaces>2671</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2024-01-31T07:06:00Z</dcterms:created>
  <dc:creator>Administrator</dc:creator>
  <cp:lastModifiedBy>龙柱洵</cp:lastModifiedBy>
  <dcterms:modified xsi:type="dcterms:W3CDTF">2026-01-22T10:08:05Z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5BF2E9B06CF149A2878E7C0300FCDE7B</vt:lpwstr>
  </property>
  <property fmtid="{D5CDD505-2E9C-101B-9397-08002B2CF9AE}" pid="4" name="KSOTemplateDocerSaveRecord">
    <vt:lpwstr>eyJoZGlkIjoiY2UxNDBhNzc0OTY5YTI1YzU0MjRkZDBmMDA2ZWY1YTAiLCJ1c2VySWQiOiIxNjUwMjI2OTE4In0=</vt:lpwstr>
  </property>
</Properties>
</file>